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17F" w:rsidRDefault="005F517F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B268A7" w:rsidRDefault="00B268A7" w:rsidP="009014CF">
      <w:pPr>
        <w:pStyle w:val="ConsPlusTitle"/>
        <w:widowControl/>
        <w:ind w:right="56"/>
        <w:jc w:val="both"/>
        <w:rPr>
          <w:spacing w:val="-1"/>
          <w:sz w:val="24"/>
          <w:szCs w:val="24"/>
        </w:rPr>
      </w:pPr>
    </w:p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</w:t>
      </w:r>
      <w:proofErr w:type="gramStart"/>
      <w:r w:rsidR="00D2634B">
        <w:rPr>
          <w:sz w:val="24"/>
          <w:szCs w:val="24"/>
        </w:rPr>
        <w:t>.о</w:t>
      </w:r>
      <w:proofErr w:type="spellEnd"/>
      <w:proofErr w:type="gram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1.2. Поставщик гарантирует, что Товар на момент его передачи Покупателю принадлежит Поставщику на праве собственности и </w:t>
      </w:r>
      <w:proofErr w:type="gramStart"/>
      <w:r w:rsidRPr="00A855C3">
        <w:rPr>
          <w:sz w:val="24"/>
          <w:szCs w:val="24"/>
        </w:rPr>
        <w:t>свободен</w:t>
      </w:r>
      <w:proofErr w:type="gramEnd"/>
      <w:r w:rsidRPr="00A855C3">
        <w:rPr>
          <w:sz w:val="24"/>
          <w:szCs w:val="24"/>
        </w:rPr>
        <w:t xml:space="preserve">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542B74" w:rsidRPr="00542B74" w:rsidRDefault="00A232D8" w:rsidP="00542B74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3.1. </w:t>
      </w:r>
      <w:r w:rsidR="00542B74" w:rsidRPr="00542B74">
        <w:rPr>
          <w:sz w:val="24"/>
          <w:szCs w:val="24"/>
        </w:rPr>
        <w:t>Оплата производится по безналичному расчету путем перечисления денежных средств на расчетный счет Поставщика: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 в течение 30 банковских дней за расчетным месяцем (январь-апрель, октябрь-декабрь),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Поставщика;</w:t>
      </w:r>
    </w:p>
    <w:p w:rsidR="00542B74" w:rsidRPr="00542B74" w:rsidRDefault="00542B74" w:rsidP="00542B74">
      <w:pPr>
        <w:ind w:firstLine="709"/>
        <w:rPr>
          <w:sz w:val="24"/>
          <w:szCs w:val="24"/>
        </w:rPr>
      </w:pPr>
      <w:r w:rsidRPr="00542B74">
        <w:rPr>
          <w:sz w:val="24"/>
          <w:szCs w:val="24"/>
        </w:rPr>
        <w:t>-в течение 90 банковских дней за расчетным месяцем (май-сентябрь), на основании счетов, выставляемых к оплате не позднее 5-го числа месяца, следующего за расчетным месяцем. Датой оплаты считается дата поступления денежных средств на расчетный счет Поставщика.</w:t>
      </w:r>
    </w:p>
    <w:p w:rsidR="00542B74" w:rsidRDefault="00542B74" w:rsidP="00A232D8">
      <w:pPr>
        <w:rPr>
          <w:sz w:val="24"/>
          <w:szCs w:val="24"/>
        </w:rPr>
      </w:pP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7A63B8" w:rsidRPr="00A855C3" w:rsidRDefault="00BC163F" w:rsidP="007A63B8">
      <w:pPr>
        <w:rPr>
          <w:sz w:val="24"/>
          <w:szCs w:val="24"/>
        </w:rPr>
      </w:pPr>
      <w:r w:rsidRPr="00A14F5D">
        <w:rPr>
          <w:sz w:val="24"/>
          <w:szCs w:val="24"/>
        </w:rPr>
        <w:t xml:space="preserve"> </w:t>
      </w:r>
    </w:p>
    <w:p w:rsidR="00BC163F" w:rsidRDefault="00BC163F" w:rsidP="00BC163F">
      <w:pPr>
        <w:rPr>
          <w:sz w:val="24"/>
          <w:szCs w:val="24"/>
        </w:rPr>
      </w:pPr>
      <w:r w:rsidRPr="00A855C3">
        <w:rPr>
          <w:sz w:val="24"/>
          <w:szCs w:val="24"/>
        </w:rPr>
        <w:t>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7A63B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9.1.   Договор вступает в силу с </w:t>
      </w:r>
      <w:r w:rsidR="007A63B8">
        <w:rPr>
          <w:sz w:val="24"/>
          <w:szCs w:val="24"/>
        </w:rPr>
        <w:t xml:space="preserve"> </w:t>
      </w:r>
      <w:r w:rsidR="00F63F8A">
        <w:rPr>
          <w:sz w:val="24"/>
          <w:szCs w:val="24"/>
        </w:rPr>
        <w:t>момента подписания и</w:t>
      </w:r>
      <w:bookmarkStart w:id="0" w:name="_GoBack"/>
      <w:bookmarkEnd w:id="0"/>
      <w:r w:rsidRPr="00F63F8A">
        <w:rPr>
          <w:sz w:val="24"/>
          <w:szCs w:val="24"/>
        </w:rPr>
        <w:t xml:space="preserve"> действует до </w:t>
      </w:r>
      <w:r w:rsidR="007A63B8" w:rsidRPr="00F63F8A">
        <w:rPr>
          <w:sz w:val="24"/>
          <w:szCs w:val="24"/>
        </w:rPr>
        <w:t xml:space="preserve"> 31.12.2017 г.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lastRenderedPageBreak/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тел. (885557)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0</w:t>
            </w:r>
            <w:r w:rsidRPr="00CC7F92">
              <w:rPr>
                <w:rStyle w:val="1"/>
                <w:sz w:val="20"/>
                <w:szCs w:val="20"/>
              </w:rPr>
              <w:t xml:space="preserve">0, </w:t>
            </w:r>
            <w:r w:rsidR="00997C1C">
              <w:rPr>
                <w:rStyle w:val="1"/>
                <w:sz w:val="20"/>
                <w:szCs w:val="20"/>
              </w:rPr>
              <w:t>5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20</w:t>
            </w:r>
            <w:r w:rsidRPr="00CC7F92">
              <w:rPr>
                <w:rStyle w:val="1"/>
                <w:sz w:val="20"/>
                <w:szCs w:val="20"/>
              </w:rPr>
              <w:t>-</w:t>
            </w:r>
            <w:r w:rsidR="00997C1C">
              <w:rPr>
                <w:rStyle w:val="1"/>
                <w:sz w:val="20"/>
                <w:szCs w:val="20"/>
              </w:rPr>
              <w:t>52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Банковские реквизиты: расчетный счет Корреспондирующий счет БИК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40702810362410100510   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30101810600000000603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049205603,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ОГРН 1061674038491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 xml:space="preserve"> ОКПО 98347882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Полное наименование банка       доп. офис №8610/0780</w:t>
            </w:r>
          </w:p>
          <w:p w:rsidR="00997C1C" w:rsidRPr="00997C1C" w:rsidRDefault="00997C1C" w:rsidP="00997C1C">
            <w:pPr>
              <w:ind w:firstLine="0"/>
              <w:rPr>
                <w:sz w:val="20"/>
                <w:szCs w:val="20"/>
              </w:rPr>
            </w:pPr>
            <w:r w:rsidRPr="00997C1C">
              <w:rPr>
                <w:sz w:val="20"/>
                <w:szCs w:val="20"/>
              </w:rPr>
              <w:t>Отделение Банк Татарстан 8610 ПАО «Сбербанк России</w:t>
            </w:r>
          </w:p>
          <w:p w:rsidR="00997C1C" w:rsidRPr="00CC7F92" w:rsidRDefault="00997C1C" w:rsidP="00E329AF">
            <w:pPr>
              <w:ind w:firstLine="0"/>
              <w:rPr>
                <w:sz w:val="20"/>
                <w:szCs w:val="20"/>
              </w:rPr>
            </w:pP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DC7809" w:rsidRDefault="00DC7809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E04928">
      <w:pPr>
        <w:pStyle w:val="a8"/>
        <w:widowControl w:val="0"/>
        <w:numPr>
          <w:ilvl w:val="1"/>
          <w:numId w:val="15"/>
        </w:numPr>
        <w:suppressLineNumbers/>
        <w:suppressAutoHyphens/>
        <w:rPr>
          <w:sz w:val="25"/>
          <w:szCs w:val="25"/>
        </w:rPr>
      </w:pPr>
      <w:r w:rsidRPr="00E04928">
        <w:rPr>
          <w:sz w:val="25"/>
          <w:szCs w:val="25"/>
        </w:rPr>
        <w:t>Цена товаров, работ, услуг:</w:t>
      </w:r>
    </w:p>
    <w:tbl>
      <w:tblPr>
        <w:tblW w:w="1023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"/>
        <w:gridCol w:w="5103"/>
        <w:gridCol w:w="972"/>
        <w:gridCol w:w="1013"/>
        <w:gridCol w:w="1301"/>
        <w:gridCol w:w="1506"/>
      </w:tblGrid>
      <w:tr w:rsidR="00DC7809" w:rsidRPr="00AE37EF" w:rsidTr="00DC7809">
        <w:tc>
          <w:tcPr>
            <w:tcW w:w="341" w:type="dxa"/>
            <w:shd w:val="clear" w:color="auto" w:fill="auto"/>
          </w:tcPr>
          <w:p w:rsidR="00DC7809" w:rsidRPr="00AE37EF" w:rsidRDefault="00DC7809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5103" w:type="dxa"/>
            <w:shd w:val="clear" w:color="auto" w:fill="auto"/>
          </w:tcPr>
          <w:p w:rsidR="00DC7809" w:rsidRPr="00AE37EF" w:rsidRDefault="00DC7809" w:rsidP="00824BF8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DC7809" w:rsidRPr="00AE37EF" w:rsidRDefault="00DC7809" w:rsidP="00824BF8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DC7809" w:rsidRPr="00AE37EF" w:rsidRDefault="00DC7809" w:rsidP="00824BF8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AE37EF">
              <w:rPr>
                <w:b/>
                <w:sz w:val="25"/>
                <w:szCs w:val="25"/>
              </w:rPr>
              <w:t>Ед</w:t>
            </w:r>
            <w:proofErr w:type="gramStart"/>
            <w:r w:rsidRPr="00AE37EF">
              <w:rPr>
                <w:b/>
                <w:sz w:val="25"/>
                <w:szCs w:val="25"/>
              </w:rPr>
              <w:t>.и</w:t>
            </w:r>
            <w:proofErr w:type="gramEnd"/>
            <w:r w:rsidRPr="00AE37EF">
              <w:rPr>
                <w:b/>
                <w:sz w:val="25"/>
                <w:szCs w:val="25"/>
              </w:rPr>
              <w:t>зм</w:t>
            </w:r>
            <w:proofErr w:type="spellEnd"/>
            <w:r w:rsidRPr="00AE37EF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DC7809" w:rsidRPr="00AE37EF" w:rsidRDefault="00DC7809" w:rsidP="00824BF8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06" w:type="dxa"/>
          </w:tcPr>
          <w:p w:rsidR="00DC7809" w:rsidRPr="00AE37EF" w:rsidRDefault="00DC7809" w:rsidP="00824BF8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AE37EF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DC7809" w:rsidRPr="00AE37EF" w:rsidTr="00DC7809">
        <w:tc>
          <w:tcPr>
            <w:tcW w:w="341" w:type="dxa"/>
            <w:shd w:val="clear" w:color="auto" w:fill="auto"/>
          </w:tcPr>
          <w:p w:rsidR="00DC7809" w:rsidRPr="00AE37EF" w:rsidRDefault="00DC7809" w:rsidP="00824BF8">
            <w:pPr>
              <w:ind w:firstLine="0"/>
              <w:rPr>
                <w:sz w:val="25"/>
                <w:szCs w:val="25"/>
              </w:rPr>
            </w:pPr>
            <w:r w:rsidRPr="00AE37EF">
              <w:rPr>
                <w:sz w:val="25"/>
                <w:szCs w:val="25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Отвод 32 SDR 11 90° PE-RT </w:t>
            </w:r>
          </w:p>
          <w:p w:rsid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Отвод 63 SDR 11 90° PE-RT </w:t>
            </w:r>
          </w:p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Отвод Ду90 SDR 11 90° PE-RT </w:t>
            </w:r>
          </w:p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Отвод ПНД 160 SDR 11 90° </w:t>
            </w:r>
          </w:p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Втулка 32 SDR 11 PE-RT </w:t>
            </w:r>
            <w:proofErr w:type="spellStart"/>
            <w:r w:rsidRPr="00050D0D">
              <w:rPr>
                <w:sz w:val="25"/>
                <w:szCs w:val="25"/>
              </w:rPr>
              <w:t>удл.L</w:t>
            </w:r>
            <w:proofErr w:type="spellEnd"/>
            <w:r w:rsidRPr="00050D0D">
              <w:rPr>
                <w:sz w:val="25"/>
                <w:szCs w:val="25"/>
              </w:rPr>
              <w:t xml:space="preserve">=100 </w:t>
            </w:r>
          </w:p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Втулка ПНД 160 SDR 11 </w:t>
            </w:r>
            <w:proofErr w:type="spellStart"/>
            <w:r w:rsidRPr="00050D0D">
              <w:rPr>
                <w:sz w:val="25"/>
                <w:szCs w:val="25"/>
              </w:rPr>
              <w:t>удл.L</w:t>
            </w:r>
            <w:proofErr w:type="spellEnd"/>
            <w:r w:rsidRPr="00050D0D">
              <w:rPr>
                <w:sz w:val="25"/>
                <w:szCs w:val="25"/>
              </w:rPr>
              <w:t xml:space="preserve">=100 </w:t>
            </w:r>
          </w:p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</w:p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</w:p>
          <w:p w:rsid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Труба ПЭ 100 SDR 11 PE-RT Ду50 </w:t>
            </w:r>
          </w:p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Труба ПЭ100 SDR 11 PE-RT Ду63 </w:t>
            </w:r>
          </w:p>
          <w:p w:rsidR="00050D0D" w:rsidRPr="00050D0D" w:rsidRDefault="00050D0D" w:rsidP="00050D0D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 xml:space="preserve">Труба ПЭ100 SDR 11 PE-RT Ду90 </w:t>
            </w:r>
          </w:p>
          <w:p w:rsidR="00DC7809" w:rsidRPr="00AE37EF" w:rsidRDefault="00050D0D" w:rsidP="00610191">
            <w:pPr>
              <w:ind w:firstLine="0"/>
              <w:rPr>
                <w:sz w:val="25"/>
                <w:szCs w:val="25"/>
              </w:rPr>
            </w:pPr>
            <w:r w:rsidRPr="00050D0D">
              <w:rPr>
                <w:sz w:val="25"/>
                <w:szCs w:val="25"/>
              </w:rPr>
              <w:t>Труба ПЭ100 SDR 11 PE-RT Ду</w:t>
            </w:r>
            <w:r w:rsidR="00610191">
              <w:rPr>
                <w:sz w:val="25"/>
                <w:szCs w:val="25"/>
              </w:rPr>
              <w:t>32</w:t>
            </w:r>
            <w:r w:rsidRPr="00050D0D">
              <w:rPr>
                <w:sz w:val="25"/>
                <w:szCs w:val="25"/>
              </w:rPr>
              <w:t xml:space="preserve"> </w:t>
            </w:r>
          </w:p>
        </w:tc>
        <w:tc>
          <w:tcPr>
            <w:tcW w:w="972" w:type="dxa"/>
            <w:shd w:val="clear" w:color="auto" w:fill="auto"/>
          </w:tcPr>
          <w:p w:rsidR="00DC7809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</w:t>
            </w:r>
          </w:p>
          <w:p w:rsidR="00050D0D" w:rsidRPr="00AE37EF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DC7809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38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  <w:p w:rsidR="00050D0D" w:rsidRDefault="00610191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72</w:t>
            </w:r>
          </w:p>
          <w:p w:rsidR="00050D0D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610191">
              <w:rPr>
                <w:sz w:val="25"/>
                <w:szCs w:val="25"/>
              </w:rPr>
              <w:t>08</w:t>
            </w:r>
          </w:p>
          <w:p w:rsidR="00050D0D" w:rsidRDefault="00610191" w:rsidP="00824BF8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132</w:t>
            </w:r>
          </w:p>
          <w:p w:rsidR="00050D0D" w:rsidRPr="00AE37EF" w:rsidRDefault="00610191" w:rsidP="00610191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210</w:t>
            </w:r>
          </w:p>
        </w:tc>
        <w:tc>
          <w:tcPr>
            <w:tcW w:w="1301" w:type="dxa"/>
          </w:tcPr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06" w:type="dxa"/>
          </w:tcPr>
          <w:p w:rsidR="00DC7809" w:rsidRPr="00AE37EF" w:rsidRDefault="00DC7809" w:rsidP="00824BF8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DC7809" w:rsidRPr="00AE37EF" w:rsidTr="00DC7809">
        <w:tc>
          <w:tcPr>
            <w:tcW w:w="341" w:type="dxa"/>
            <w:shd w:val="clear" w:color="auto" w:fill="auto"/>
          </w:tcPr>
          <w:p w:rsidR="00DC7809" w:rsidRPr="00AE37EF" w:rsidRDefault="00DC7809" w:rsidP="00824BF8">
            <w:pPr>
              <w:ind w:left="-246" w:right="-108" w:firstLine="14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7809" w:rsidRPr="00AE37EF" w:rsidRDefault="00DC7809" w:rsidP="00824BF8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ИТОГО </w:t>
            </w:r>
          </w:p>
        </w:tc>
        <w:tc>
          <w:tcPr>
            <w:tcW w:w="972" w:type="dxa"/>
            <w:shd w:val="clear" w:color="auto" w:fill="auto"/>
          </w:tcPr>
          <w:p w:rsidR="00DC7809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  <w:p w:rsidR="00050D0D" w:rsidRPr="00AE37EF" w:rsidRDefault="00050D0D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DC7809" w:rsidRPr="00AE37EF" w:rsidRDefault="00DC7809" w:rsidP="00824BF8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06" w:type="dxa"/>
          </w:tcPr>
          <w:p w:rsidR="00DC7809" w:rsidRPr="00AE37EF" w:rsidRDefault="00DC7809" w:rsidP="00824BF8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E04928" w:rsidRDefault="00E04928" w:rsidP="00E04928"/>
    <w:p w:rsidR="00E04928" w:rsidRPr="00E04928" w:rsidRDefault="00E04928" w:rsidP="00E04928">
      <w:pPr>
        <w:pStyle w:val="a8"/>
        <w:widowControl w:val="0"/>
        <w:suppressLineNumbers/>
        <w:suppressAutoHyphens/>
        <w:ind w:left="1440" w:firstLine="0"/>
        <w:rPr>
          <w:sz w:val="25"/>
          <w:szCs w:val="25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9"/>
      <w:foot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E78" w:rsidRDefault="005C0E78">
      <w:r>
        <w:separator/>
      </w:r>
    </w:p>
  </w:endnote>
  <w:endnote w:type="continuationSeparator" w:id="0">
    <w:p w:rsidR="005C0E78" w:rsidRDefault="005C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F63F8A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3F8A">
      <w:rPr>
        <w:rStyle w:val="a5"/>
        <w:noProof/>
      </w:rPr>
      <w:t>4</w:t>
    </w:r>
    <w:r>
      <w:rPr>
        <w:rStyle w:val="a5"/>
      </w:rPr>
      <w:fldChar w:fldCharType="end"/>
    </w:r>
  </w:p>
  <w:p w:rsidR="0004393A" w:rsidRDefault="00F63F8A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E78" w:rsidRDefault="005C0E78">
      <w:r>
        <w:separator/>
      </w:r>
    </w:p>
  </w:footnote>
  <w:footnote w:type="continuationSeparator" w:id="0">
    <w:p w:rsidR="005C0E78" w:rsidRDefault="005C0E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460477"/>
    <w:multiLevelType w:val="multilevel"/>
    <w:tmpl w:val="D0423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10"/>
  </w:num>
  <w:num w:numId="6">
    <w:abstractNumId w:val="5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6"/>
  </w:num>
  <w:num w:numId="12">
    <w:abstractNumId w:val="9"/>
  </w:num>
  <w:num w:numId="13">
    <w:abstractNumId w:val="12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050D0D"/>
    <w:rsid w:val="0010285C"/>
    <w:rsid w:val="001445F5"/>
    <w:rsid w:val="002D6571"/>
    <w:rsid w:val="003C6412"/>
    <w:rsid w:val="003F0044"/>
    <w:rsid w:val="004324C6"/>
    <w:rsid w:val="00542B74"/>
    <w:rsid w:val="005C0E78"/>
    <w:rsid w:val="005F517F"/>
    <w:rsid w:val="00610191"/>
    <w:rsid w:val="00794691"/>
    <w:rsid w:val="007A63B8"/>
    <w:rsid w:val="00816815"/>
    <w:rsid w:val="00884F00"/>
    <w:rsid w:val="008D214E"/>
    <w:rsid w:val="009014CF"/>
    <w:rsid w:val="00951462"/>
    <w:rsid w:val="00997C1C"/>
    <w:rsid w:val="00A232D8"/>
    <w:rsid w:val="00A855C3"/>
    <w:rsid w:val="00AE1073"/>
    <w:rsid w:val="00B268A7"/>
    <w:rsid w:val="00BC163F"/>
    <w:rsid w:val="00D2634B"/>
    <w:rsid w:val="00DB0A85"/>
    <w:rsid w:val="00DC7809"/>
    <w:rsid w:val="00E04928"/>
    <w:rsid w:val="00E852CF"/>
    <w:rsid w:val="00EA7058"/>
    <w:rsid w:val="00F63F8A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0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CEBE-D8AE-4FDD-ACAF-B9227B2EC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2017-01-16T11:05:00Z</cp:lastPrinted>
  <dcterms:created xsi:type="dcterms:W3CDTF">2017-02-02T14:00:00Z</dcterms:created>
  <dcterms:modified xsi:type="dcterms:W3CDTF">2017-02-02T14:00:00Z</dcterms:modified>
</cp:coreProperties>
</file>