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BC0684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B0D5B" w:rsidRDefault="00DB0D5B" w:rsidP="009014CF">
      <w:pPr>
        <w:ind w:left="567" w:right="425"/>
        <w:jc w:val="right"/>
        <w:rPr>
          <w:sz w:val="20"/>
          <w:szCs w:val="20"/>
        </w:rPr>
      </w:pPr>
      <w:bookmarkStart w:id="0" w:name="_GoBack"/>
      <w:bookmarkEnd w:id="0"/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23021" w:rsidP="00923021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923021">
        <w:rPr>
          <w:sz w:val="25"/>
          <w:szCs w:val="25"/>
        </w:rPr>
        <w:t xml:space="preserve"> ГОСТ, сертификат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5103"/>
        <w:gridCol w:w="972"/>
        <w:gridCol w:w="1013"/>
        <w:gridCol w:w="1301"/>
        <w:gridCol w:w="1559"/>
      </w:tblGrid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DB0D5B" w:rsidRPr="00AE37EF" w:rsidRDefault="00DB0D5B" w:rsidP="007B6A77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DB0D5B" w:rsidRDefault="00DB0D5B" w:rsidP="007B6A77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AE37EF">
              <w:rPr>
                <w:b/>
                <w:sz w:val="25"/>
                <w:szCs w:val="25"/>
              </w:rPr>
              <w:t>Ед</w:t>
            </w:r>
            <w:proofErr w:type="gramStart"/>
            <w:r w:rsidRPr="00AE37EF">
              <w:rPr>
                <w:b/>
                <w:sz w:val="25"/>
                <w:szCs w:val="25"/>
              </w:rPr>
              <w:t>.и</w:t>
            </w:r>
            <w:proofErr w:type="gramEnd"/>
            <w:r w:rsidRPr="00AE37EF">
              <w:rPr>
                <w:b/>
                <w:sz w:val="25"/>
                <w:szCs w:val="25"/>
              </w:rPr>
              <w:t>зм</w:t>
            </w:r>
            <w:proofErr w:type="spellEnd"/>
            <w:r w:rsidRPr="00AE37EF">
              <w:rPr>
                <w:b/>
                <w:sz w:val="25"/>
                <w:szCs w:val="25"/>
              </w:rPr>
              <w:t>.</w:t>
            </w:r>
          </w:p>
          <w:p w:rsidR="00DB0D5B" w:rsidRPr="00AE37EF" w:rsidRDefault="00DB0D5B" w:rsidP="007B6A77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gramStart"/>
            <w:r>
              <w:rPr>
                <w:b/>
                <w:sz w:val="25"/>
                <w:szCs w:val="25"/>
              </w:rPr>
              <w:t>м</w:t>
            </w:r>
            <w:proofErr w:type="gramEnd"/>
            <w:r>
              <w:rPr>
                <w:b/>
                <w:sz w:val="25"/>
                <w:szCs w:val="25"/>
              </w:rPr>
              <w:t>/тонн</w:t>
            </w: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Ду15х2,8</w:t>
            </w:r>
            <w:r>
              <w:t xml:space="preserve"> гост 3262-75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 w:rsidRPr="000D3D2D">
              <w:t>18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Ду20х2,8</w:t>
            </w:r>
            <w:r>
              <w:t xml:space="preserve"> гост 3262-75 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>
              <w:t>31,2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tcBorders>
              <w:tr2bl w:val="single" w:sz="4" w:space="0" w:color="auto"/>
            </w:tcBorders>
            <w:shd w:val="clear" w:color="auto" w:fill="auto"/>
          </w:tcPr>
          <w:p w:rsidR="00DB0D5B" w:rsidRPr="00AE37EF" w:rsidRDefault="00DB0D5B" w:rsidP="007B6A77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Ду25х2,8</w:t>
            </w:r>
            <w:r>
              <w:t xml:space="preserve"> гост 3262-75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 w:rsidRPr="000D3D2D">
              <w:t>20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Ду25х3,2</w:t>
            </w:r>
            <w:r>
              <w:t xml:space="preserve"> </w:t>
            </w:r>
            <w:r w:rsidRPr="00C23A14">
              <w:t>гост 3262-75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 w:rsidRPr="000D3D2D">
              <w:t>18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Ду32х3,5</w:t>
            </w:r>
            <w:r>
              <w:t xml:space="preserve"> гост 3262-75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>
              <w:t>79,5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(Ду50) 61х5 толстостенная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 w:rsidRPr="000D3D2D">
              <w:t>10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Ду57х3,5</w:t>
            </w:r>
            <w:r>
              <w:t xml:space="preserve"> гост 8732-78 ст.20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>
              <w:t>135,5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Ду76х4</w:t>
            </w:r>
            <w:r>
              <w:t xml:space="preserve"> гост 8732-78 ст.20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>
              <w:t>92,09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Ду108х5</w:t>
            </w:r>
            <w:r>
              <w:t xml:space="preserve"> гост 8732-78 ст.20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>
              <w:t>926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left="-246" w:right="-108" w:firstLine="142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Ду159х6</w:t>
            </w:r>
            <w:r>
              <w:t xml:space="preserve"> гост 8732-78 ст.20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>
              <w:t>267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left="-246" w:right="-108" w:firstLine="142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Ду219х6</w:t>
            </w:r>
            <w:r>
              <w:t xml:space="preserve"> гост 8732-78 ст.20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>
              <w:t>383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left="-246" w:right="-108" w:firstLine="142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Ду273х8</w:t>
            </w:r>
            <w:r>
              <w:t xml:space="preserve"> гост 8732-78 ст.20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>
              <w:t>318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left="-246" w:right="-108" w:firstLine="142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стальная б/ш Ду325х8</w:t>
            </w:r>
            <w:r>
              <w:t xml:space="preserve"> гост 8732-78 ст.20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>
              <w:t>202,4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left="-246" w:right="-108" w:firstLine="142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>Труба стальн</w:t>
            </w:r>
            <w:r>
              <w:t>а</w:t>
            </w:r>
            <w:r w:rsidRPr="000D3D2D">
              <w:t xml:space="preserve">я </w:t>
            </w:r>
            <w:proofErr w:type="spellStart"/>
            <w:r w:rsidRPr="000D3D2D">
              <w:t>прямошовная</w:t>
            </w:r>
            <w:proofErr w:type="spellEnd"/>
            <w:r w:rsidRPr="000D3D2D">
              <w:t xml:space="preserve"> 426х9</w:t>
            </w:r>
            <w:r>
              <w:t xml:space="preserve"> ГОСТ 10705-80 ст.20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 w:rsidRPr="000D3D2D">
              <w:t>23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left="-246" w:right="-108" w:firstLine="142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 xml:space="preserve">Труба ст.20  </w:t>
            </w:r>
            <w:proofErr w:type="spellStart"/>
            <w:r w:rsidRPr="000D3D2D">
              <w:t>прямошовная</w:t>
            </w:r>
            <w:proofErr w:type="spellEnd"/>
            <w:r w:rsidRPr="000D3D2D">
              <w:t xml:space="preserve"> 530х9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 w:rsidRPr="000D3D2D">
              <w:t>20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Pr="00AE37EF" w:rsidRDefault="00DB0D5B" w:rsidP="007B6A77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 w:rsidRPr="000D3D2D">
              <w:t xml:space="preserve">Труба ст.20 </w:t>
            </w:r>
            <w:proofErr w:type="spellStart"/>
            <w:r w:rsidRPr="000D3D2D">
              <w:t>прямошовная</w:t>
            </w:r>
            <w:proofErr w:type="spellEnd"/>
            <w:r w:rsidRPr="000D3D2D">
              <w:t xml:space="preserve"> 720х10</w:t>
            </w:r>
          </w:p>
        </w:tc>
        <w:tc>
          <w:tcPr>
            <w:tcW w:w="972" w:type="dxa"/>
            <w:shd w:val="clear" w:color="auto" w:fill="auto"/>
          </w:tcPr>
          <w:p w:rsidR="00DB0D5B" w:rsidRPr="000D3D2D" w:rsidRDefault="00DB0D5B" w:rsidP="007B6A77">
            <w:pPr>
              <w:ind w:left="-816"/>
              <w:jc w:val="left"/>
            </w:pPr>
            <w:r w:rsidRPr="000D3D2D">
              <w:t>20</w:t>
            </w: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B0D5B" w:rsidRPr="00AE37EF" w:rsidTr="007B6A77">
        <w:tc>
          <w:tcPr>
            <w:tcW w:w="288" w:type="dxa"/>
            <w:shd w:val="clear" w:color="auto" w:fill="auto"/>
          </w:tcPr>
          <w:p w:rsidR="00DB0D5B" w:rsidRDefault="00DB0D5B" w:rsidP="007B6A77">
            <w:pPr>
              <w:ind w:left="-246" w:right="-108" w:firstLine="142"/>
              <w:rPr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DB0D5B" w:rsidRPr="000D3D2D" w:rsidRDefault="00DB0D5B" w:rsidP="007B6A77">
            <w:r>
              <w:t>Транспортные услуги</w:t>
            </w:r>
          </w:p>
        </w:tc>
        <w:tc>
          <w:tcPr>
            <w:tcW w:w="972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B0D5B" w:rsidRPr="00AE37EF" w:rsidRDefault="00DB0D5B" w:rsidP="007B6A77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DB0D5B" w:rsidRPr="00AE37EF" w:rsidRDefault="00DB0D5B" w:rsidP="007B6A77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DB0D5B" w:rsidRPr="001366CB" w:rsidRDefault="00DB0D5B" w:rsidP="00DB0D5B">
      <w:pPr>
        <w:pStyle w:val="12pt"/>
        <w:rPr>
          <w:szCs w:val="24"/>
          <w:u w:val="single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62" w:rsidRDefault="00951462">
      <w:r>
        <w:separator/>
      </w:r>
    </w:p>
  </w:endnote>
  <w:endnote w:type="continuationSeparator" w:id="0">
    <w:p w:rsidR="00951462" w:rsidRDefault="0095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DB0D5B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0D5B">
      <w:rPr>
        <w:rStyle w:val="a5"/>
        <w:noProof/>
      </w:rPr>
      <w:t>7</w:t>
    </w:r>
    <w:r>
      <w:rPr>
        <w:rStyle w:val="a5"/>
      </w:rPr>
      <w:fldChar w:fldCharType="end"/>
    </w:r>
  </w:p>
  <w:p w:rsidR="0004393A" w:rsidRDefault="00DB0D5B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62" w:rsidRDefault="00951462">
      <w:r>
        <w:separator/>
      </w:r>
    </w:p>
  </w:footnote>
  <w:footnote w:type="continuationSeparator" w:id="0">
    <w:p w:rsidR="00951462" w:rsidRDefault="0095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8FD3CA0"/>
    <w:multiLevelType w:val="multilevel"/>
    <w:tmpl w:val="0A26A8CE"/>
    <w:lvl w:ilvl="0">
      <w:start w:val="30"/>
      <w:numFmt w:val="decimal"/>
      <w:lvlText w:val="%1."/>
      <w:lvlJc w:val="left"/>
      <w:pPr>
        <w:ind w:left="3510" w:hanging="3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0" w:hanging="3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0" w:hanging="3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3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90" w:hanging="3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3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3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0" w:hanging="3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0" w:hanging="351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542B74"/>
    <w:rsid w:val="005A7574"/>
    <w:rsid w:val="005F517F"/>
    <w:rsid w:val="00794691"/>
    <w:rsid w:val="00816815"/>
    <w:rsid w:val="00884F00"/>
    <w:rsid w:val="008B13EB"/>
    <w:rsid w:val="008D214E"/>
    <w:rsid w:val="009014CF"/>
    <w:rsid w:val="00923021"/>
    <w:rsid w:val="00951462"/>
    <w:rsid w:val="00A232D8"/>
    <w:rsid w:val="00A855C3"/>
    <w:rsid w:val="00AE1073"/>
    <w:rsid w:val="00B268A7"/>
    <w:rsid w:val="00BC0684"/>
    <w:rsid w:val="00BC163F"/>
    <w:rsid w:val="00D2634B"/>
    <w:rsid w:val="00DB0A85"/>
    <w:rsid w:val="00DB0D5B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92AF-2535-4ED4-AE17-ADAB6A1B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2017-01-10T12:02:00Z</cp:lastPrinted>
  <dcterms:created xsi:type="dcterms:W3CDTF">2017-01-10T12:02:00Z</dcterms:created>
  <dcterms:modified xsi:type="dcterms:W3CDTF">2017-01-11T07:16:00Z</dcterms:modified>
</cp:coreProperties>
</file>