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D8081" w14:textId="5FC6FCE7" w:rsidR="00253A61" w:rsidRDefault="0093791B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32312833649-0</w:t>
      </w:r>
      <w:r w:rsidR="00713B81">
        <w:rPr>
          <w:rFonts w:eastAsia="Times New Roman"/>
          <w:sz w:val="21"/>
          <w:szCs w:val="21"/>
        </w:rPr>
        <w:t>2</w:t>
      </w:r>
      <w:r>
        <w:rPr>
          <w:rFonts w:eastAsia="Times New Roman"/>
          <w:sz w:val="21"/>
          <w:szCs w:val="21"/>
        </w:rPr>
        <w:t xml:space="preserve"> (вх.№ 352168)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253A61" w14:paraId="3ECA6D89" w14:textId="77777777">
        <w:trPr>
          <w:divId w:val="921597350"/>
          <w:tblCellSpacing w:w="15" w:type="dxa"/>
        </w:trPr>
        <w:tc>
          <w:tcPr>
            <w:tcW w:w="500" w:type="pct"/>
            <w:vAlign w:val="center"/>
            <w:hideMark/>
          </w:tcPr>
          <w:p w14:paraId="4027D42B" w14:textId="77777777" w:rsidR="00253A61" w:rsidRDefault="00253A61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3034066" w14:textId="63E7468B" w:rsidR="00253A61" w:rsidRDefault="0093791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подписания протокола: </w:t>
            </w:r>
            <w:r w:rsidR="00713B81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.10.2023</w:t>
            </w:r>
          </w:p>
        </w:tc>
      </w:tr>
    </w:tbl>
    <w:p w14:paraId="76D8EA7F" w14:textId="77777777" w:rsidR="00253A61" w:rsidRDefault="0093791B">
      <w:pPr>
        <w:spacing w:after="240"/>
        <w:divId w:val="15659429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32312833649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16.10.2023 15:00 (+03:00)\Местное: 16.10.2023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09.10.2023 09:00 (+03:00)\Местное: 09.10.2023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16.10.2023 09:00 (+03:00)\Местное: 16.10.2023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Респ Татарстан, Елабужский р-н, г Елабуга, ул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Проектирование, монтаж, сдача в эксплуатацию оборудования системы диспетчеризации на основе технологии LoRaWAN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1 282 394,51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256"/>
        <w:gridCol w:w="1352"/>
        <w:gridCol w:w="1352"/>
        <w:gridCol w:w="1352"/>
        <w:gridCol w:w="1354"/>
        <w:gridCol w:w="1354"/>
      </w:tblGrid>
      <w:tr w:rsidR="00253A61" w14:paraId="11A60511" w14:textId="77777777" w:rsidTr="00CD4516">
        <w:trPr>
          <w:divId w:val="1565942977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AA90025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0778EF1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B384FF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302157D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1FF10A2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12E07D8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DEFC003" w14:textId="77777777" w:rsidR="00253A61" w:rsidRDefault="0093791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253A61" w14:paraId="75057554" w14:textId="77777777" w:rsidTr="00CD4516">
        <w:trPr>
          <w:divId w:val="1565942977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D05B7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70FB38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48452604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"АЙКОМ"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, Московская область, г.о. КРАСНОГОРСК, Д ПУТИЛКОВО, ТЕР. ГРИНВУД, СТР. 17, ПОМЕЩ. 21-28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9702002333 </w:t>
            </w:r>
            <w:bookmarkEnd w:id="0"/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286F5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13.10.2023 16:23:33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04943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67442A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1 280 431,78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AEDB45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EC201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253A61" w14:paraId="083200B4" w14:textId="77777777" w:rsidTr="00CD4516">
        <w:trPr>
          <w:divId w:val="1565942977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7316F7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1" w:name="_Hlk149571890"/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500E2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2" w:name="_Hlk149569474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"КОМПЛЕКСНОЕ ЭНЕРГОРАЗВИТИЕ-ГЕНЕРАЦИЯ"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420036, Республика Татарстан (Татарстан), Г. КАЗАНЬ, УЛ. ВОСХОД, Д. 45А, КОМ. 13 (203)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1655229925 </w:t>
            </w:r>
            <w:bookmarkEnd w:id="2"/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3FC162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16.10.2023 08:46:36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A9A00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22E432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1 282 394,51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98FEBF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1C226" w14:textId="77777777" w:rsidR="00253A61" w:rsidRDefault="0093791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bookmarkEnd w:id="1"/>
    <w:p w14:paraId="465272D5" w14:textId="46D0EF4E" w:rsidR="00CD4516" w:rsidRDefault="00CD4516" w:rsidP="00CD4516">
      <w:pPr>
        <w:ind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14.</w:t>
      </w:r>
      <w:r w:rsidR="00713B81">
        <w:rPr>
          <w:rFonts w:eastAsia="Times New Roman"/>
          <w:sz w:val="20"/>
          <w:szCs w:val="20"/>
        </w:rPr>
        <w:t xml:space="preserve">В связи с расторжением заключенного договора № 23/04-326 от 27.10.2023г </w:t>
      </w:r>
      <w:r w:rsidR="00A40E65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с </w:t>
      </w:r>
      <w:r w:rsidRPr="00AB0614">
        <w:rPr>
          <w:rFonts w:eastAsia="Times New Roman"/>
          <w:sz w:val="20"/>
          <w:szCs w:val="20"/>
        </w:rPr>
        <w:t>"</w:t>
      </w:r>
      <w:r w:rsidRPr="00CD4516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"АЙКОМ" , Московская область, г.о. КРАСНОГОРСК, Д ПУТИЛКОВО, ТЕР. ГРИНВУД, СТР. 17, ПОМЕЩ. 21-28 ИНН: 9702002333 </w:t>
      </w:r>
      <w:r w:rsidR="00A40E65">
        <w:rPr>
          <w:rFonts w:eastAsia="Times New Roman"/>
          <w:color w:val="000000"/>
          <w:sz w:val="20"/>
          <w:szCs w:val="20"/>
        </w:rPr>
        <w:t xml:space="preserve">, </w:t>
      </w:r>
      <w:r w:rsidR="00713B81">
        <w:rPr>
          <w:rFonts w:eastAsia="Times New Roman"/>
          <w:color w:val="000000"/>
          <w:sz w:val="20"/>
          <w:szCs w:val="20"/>
        </w:rPr>
        <w:t xml:space="preserve">комиссия приняла решение </w:t>
      </w:r>
      <w:r w:rsidR="00A40E65">
        <w:rPr>
          <w:rFonts w:eastAsia="Times New Roman"/>
          <w:color w:val="000000"/>
          <w:sz w:val="20"/>
          <w:szCs w:val="20"/>
        </w:rPr>
        <w:t>заключить договор</w:t>
      </w:r>
      <w:r w:rsidR="00713B81">
        <w:rPr>
          <w:rFonts w:eastAsia="Times New Roman"/>
          <w:color w:val="000000"/>
          <w:sz w:val="20"/>
          <w:szCs w:val="20"/>
        </w:rPr>
        <w:t xml:space="preserve"> с участником № 2</w:t>
      </w:r>
      <w:r w:rsidR="00A40E65">
        <w:rPr>
          <w:rFonts w:eastAsia="Times New Roman"/>
          <w:color w:val="000000"/>
          <w:sz w:val="20"/>
          <w:szCs w:val="20"/>
        </w:rPr>
        <w:t xml:space="preserve"> с </w:t>
      </w:r>
      <w:r w:rsidRPr="00AB061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  <w:r w:rsidR="00A40E65">
        <w:rPr>
          <w:rFonts w:eastAsia="Times New Roman"/>
          <w:color w:val="000000"/>
          <w:sz w:val="20"/>
          <w:szCs w:val="20"/>
        </w:rPr>
        <w:t>ОБЩЕСТВО С ОГРАНИЧЕННОЙ ОТВЕТСТВЕННОСТЬЮ "КОМПЛЕКСНОЕ ЭНЕРГОРАЗВИТИЕ-ГЕНЕРАЦИЯ" 420036, Республика Татарстан (Татарстан), Г. КАЗАНЬ, УЛ. ВОСХОД, Д. 45А, КОМ. 13 (203) .ИНН: 1655229925</w:t>
      </w:r>
      <w:r w:rsidR="00840EE7">
        <w:rPr>
          <w:rFonts w:eastAsia="Times New Roman"/>
          <w:color w:val="000000"/>
          <w:sz w:val="20"/>
          <w:szCs w:val="20"/>
        </w:rPr>
        <w:t xml:space="preserve"> сумма договора составляет </w:t>
      </w:r>
      <w:bookmarkStart w:id="3" w:name="_GoBack"/>
      <w:bookmarkEnd w:id="3"/>
      <w:r w:rsidR="00840EE7" w:rsidRPr="00840EE7">
        <w:rPr>
          <w:rFonts w:eastAsia="Times New Roman"/>
          <w:color w:val="000000"/>
          <w:sz w:val="20"/>
          <w:szCs w:val="20"/>
        </w:rPr>
        <w:t>1 282</w:t>
      </w:r>
      <w:r w:rsidR="00840EE7">
        <w:rPr>
          <w:rFonts w:eastAsia="Times New Roman"/>
          <w:color w:val="000000"/>
          <w:sz w:val="20"/>
          <w:szCs w:val="20"/>
        </w:rPr>
        <w:t> </w:t>
      </w:r>
      <w:r w:rsidR="00840EE7" w:rsidRPr="00840EE7">
        <w:rPr>
          <w:rFonts w:eastAsia="Times New Roman"/>
          <w:color w:val="000000"/>
          <w:sz w:val="20"/>
          <w:szCs w:val="20"/>
        </w:rPr>
        <w:t>394</w:t>
      </w:r>
      <w:r w:rsidR="00840EE7">
        <w:rPr>
          <w:rFonts w:eastAsia="Times New Roman"/>
          <w:color w:val="000000"/>
          <w:sz w:val="20"/>
          <w:szCs w:val="20"/>
        </w:rPr>
        <w:t xml:space="preserve"> руб </w:t>
      </w:r>
      <w:r w:rsidR="00840EE7" w:rsidRPr="00840EE7">
        <w:rPr>
          <w:rFonts w:eastAsia="Times New Roman"/>
          <w:color w:val="000000"/>
          <w:sz w:val="20"/>
          <w:szCs w:val="20"/>
        </w:rPr>
        <w:t>51</w:t>
      </w:r>
      <w:r w:rsidR="00840EE7">
        <w:rPr>
          <w:rFonts w:eastAsia="Times New Roman"/>
          <w:color w:val="000000"/>
          <w:sz w:val="20"/>
          <w:szCs w:val="20"/>
        </w:rPr>
        <w:t xml:space="preserve">коп </w:t>
      </w:r>
      <w:r w:rsidR="00A40E65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на условиях, согласно технического задания.</w:t>
      </w:r>
    </w:p>
    <w:p w14:paraId="640C3536" w14:textId="77777777" w:rsidR="00CD4516" w:rsidRDefault="00CD4516" w:rsidP="00CD4516">
      <w:pPr>
        <w:rPr>
          <w:rFonts w:eastAsia="Times New Roman"/>
          <w:sz w:val="20"/>
          <w:szCs w:val="20"/>
        </w:rPr>
      </w:pPr>
    </w:p>
    <w:p w14:paraId="3370E9D3" w14:textId="77777777" w:rsidR="00CD4516" w:rsidRPr="009E3C60" w:rsidRDefault="00CD4516" w:rsidP="00CD4516">
      <w:pPr>
        <w:numPr>
          <w:ilvl w:val="0"/>
          <w:numId w:val="1"/>
        </w:numPr>
        <w:spacing w:after="200" w:line="256" w:lineRule="auto"/>
        <w:jc w:val="both"/>
        <w:rPr>
          <w:rFonts w:eastAsia="Times New Roman"/>
          <w:color w:val="000000"/>
          <w:sz w:val="20"/>
          <w:szCs w:val="20"/>
        </w:rPr>
      </w:pPr>
      <w:r w:rsidRPr="009E3C60">
        <w:rPr>
          <w:rFonts w:eastAsia="Times New Roman"/>
          <w:b/>
          <w:bCs/>
          <w:color w:val="000000"/>
          <w:sz w:val="20"/>
          <w:szCs w:val="20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357"/>
        <w:gridCol w:w="3695"/>
        <w:gridCol w:w="2486"/>
      </w:tblGrid>
      <w:tr w:rsidR="00CD4516" w:rsidRPr="009E3C60" w14:paraId="100CCBC7" w14:textId="77777777" w:rsidTr="00CC333F">
        <w:trPr>
          <w:trHeight w:val="3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243D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F0CF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F4F6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7150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CD4516" w:rsidRPr="009E3C60" w14:paraId="2E0A6DFD" w14:textId="77777777" w:rsidTr="00CC333F">
        <w:trPr>
          <w:trHeight w:val="4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503B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D773" w14:textId="77777777" w:rsidR="00CD4516" w:rsidRPr="009E3C60" w:rsidRDefault="00CD4516" w:rsidP="00CC333F">
            <w:pPr>
              <w:spacing w:after="200"/>
              <w:rPr>
                <w:rFonts w:eastAsia="Times New Roman"/>
                <w:sz w:val="20"/>
                <w:szCs w:val="20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Кисмяков А.В.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45D2" w14:textId="77777777" w:rsidR="00CD4516" w:rsidRPr="009E3C60" w:rsidRDefault="00CD4516" w:rsidP="00CC333F">
            <w:pPr>
              <w:spacing w:after="200"/>
              <w:rPr>
                <w:rFonts w:eastAsia="Times New Roman"/>
                <w:sz w:val="20"/>
                <w:szCs w:val="20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6A79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4516" w:rsidRPr="009E3C60" w14:paraId="51D3159B" w14:textId="77777777" w:rsidTr="00CC333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4811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A71E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F5CC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9363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4516" w:rsidRPr="009E3C60" w14:paraId="6A272B36" w14:textId="77777777" w:rsidTr="00CC333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B094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EC5E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9A62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Директор СБиР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58FA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4516" w:rsidRPr="009E3C60" w14:paraId="06C23760" w14:textId="77777777" w:rsidTr="00CC333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9FE4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E689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C0796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Директор ПОиРН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DBF5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4516" w:rsidRPr="009E3C60" w14:paraId="7F54F81C" w14:textId="77777777" w:rsidTr="00CC333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0A9B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C702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6460" w14:textId="77777777" w:rsidR="00CD4516" w:rsidRPr="009E3C60" w:rsidRDefault="00CD4516" w:rsidP="00CC333F">
            <w:pPr>
              <w:spacing w:after="200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Начальник ОМТСиУИ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B01D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4516" w:rsidRPr="009E3C60" w14:paraId="753EEAF1" w14:textId="77777777" w:rsidTr="00CD451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577C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2011" w14:textId="420160BE" w:rsidR="00CD4516" w:rsidRPr="009E3C60" w:rsidRDefault="00CD4516" w:rsidP="00CC333F">
            <w:pPr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Гильмиталипов И.Н.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F4EE" w14:textId="2B72BFE6" w:rsidR="00CD4516" w:rsidRPr="009E3C60" w:rsidRDefault="00CD4516" w:rsidP="00CC333F">
            <w:pPr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ПТО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369D" w14:textId="77777777" w:rsidR="00CD4516" w:rsidRPr="009E3C60" w:rsidRDefault="00CD4516" w:rsidP="00CC333F">
            <w:pPr>
              <w:spacing w:after="200"/>
              <w:jc w:val="center"/>
              <w:rPr>
                <w:rFonts w:eastAsia="Times New Roman"/>
              </w:rPr>
            </w:pPr>
            <w:r w:rsidRPr="009E3C60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09C80B73" w14:textId="77777777" w:rsidR="00CD4516" w:rsidRPr="009E3C60" w:rsidRDefault="00CD4516" w:rsidP="00CD4516">
      <w:pPr>
        <w:rPr>
          <w:rFonts w:eastAsia="Times New Roman"/>
          <w:color w:val="000000"/>
          <w:sz w:val="27"/>
          <w:szCs w:val="27"/>
        </w:rPr>
      </w:pPr>
      <w:r w:rsidRPr="009E3C60">
        <w:rPr>
          <w:rFonts w:eastAsia="Times New Roman"/>
          <w:color w:val="000000"/>
          <w:sz w:val="20"/>
          <w:szCs w:val="20"/>
        </w:rPr>
        <w:t> </w:t>
      </w:r>
    </w:p>
    <w:p w14:paraId="5A6C03D5" w14:textId="77777777" w:rsidR="00CD4516" w:rsidRPr="009E3C60" w:rsidRDefault="00CD4516" w:rsidP="00CD4516">
      <w:pPr>
        <w:rPr>
          <w:rFonts w:eastAsia="Times New Roman"/>
        </w:rPr>
      </w:pPr>
    </w:p>
    <w:p w14:paraId="0151A527" w14:textId="77777777" w:rsidR="0093791B" w:rsidRDefault="0093791B">
      <w:pPr>
        <w:rPr>
          <w:rFonts w:eastAsia="Times New Roman"/>
        </w:rPr>
      </w:pPr>
    </w:p>
    <w:sectPr w:rsidR="0093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6"/>
    <w:rsid w:val="00253A61"/>
    <w:rsid w:val="00713B81"/>
    <w:rsid w:val="00840EE7"/>
    <w:rsid w:val="0093791B"/>
    <w:rsid w:val="00A163FB"/>
    <w:rsid w:val="00A40E65"/>
    <w:rsid w:val="00C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8D28E"/>
  <w15:chartTrackingRefBased/>
  <w15:docId w15:val="{F09A9581-7383-4853-B453-5FDA0D95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9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DDA9-92F8-418B-9DD9-147E5B54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протокол 32312833649-01 (вх.№ 352168)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32312833649-01 (вх.№ 352168)</dc:title>
  <dc:subject/>
  <dc:creator>Лариса Никитина</dc:creator>
  <cp:keywords/>
  <dc:description/>
  <cp:lastModifiedBy>Лариса Никитина</cp:lastModifiedBy>
  <cp:revision>3</cp:revision>
  <cp:lastPrinted>2023-10-30T11:44:00Z</cp:lastPrinted>
  <dcterms:created xsi:type="dcterms:W3CDTF">2023-10-30T11:53:00Z</dcterms:created>
  <dcterms:modified xsi:type="dcterms:W3CDTF">2023-10-30T12:25:00Z</dcterms:modified>
</cp:coreProperties>
</file>